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23 157 vom 4. März 2025</w:t>
      </w:r>
    </w:p>
    <w:p>
      <w:r>
        <w:t>VS Kantonsgericht, 2025-03-04, FR</w:t>
      </w:r>
    </w:p>
    <w:p>
      <w:r>
        <w:rPr>
          <w:b/>
        </w:rPr>
        <w:t xml:space="preserve">Quelle: </w:t>
      </w:r>
      <w:r>
        <w:t>https://mcp.opencaselaw.ch/entscheid/vs_gerichte_C1 23 157</w:t>
      </w:r>
    </w:p>
    <w:p>
      <w:r>
        <w:t>FR: VS_GERICHTE C1 23 157 du 4 mars 2025</w:t>
      </w:r>
    </w:p>
    <w:p>
      <w:r>
        <w:t>IT: VS_GERICHTE C1 23 157 del 4 marzo 2025</w:t>
      </w:r>
    </w:p>
    <w:p>
      <w:pPr>
        <w:pStyle w:val="Heading2"/>
      </w:pPr>
      <w:r>
        <w:t>Regeste</w:t>
      </w:r>
    </w:p>
    <w:p>
      <w:r>
        <w:t>C1 23 157 ARRÊT DU 4 MARS 2025 Tribunal cantonal du Valais Cour civile II Bertrand Dayer, juge ; Yves Burnier, greffier en la cause X _________, requérant et appelant, représenté par Maître Jean-Michel Duc, avocat à Lausanne contre Y _________, intimée et appelée, représentée par Maître Marie Carruzzo Fumeaux, avocate à Sion. (art. 291 CC : avis aux débiteurs)</w:t>
      </w:r>
    </w:p>
    <w:p>
      <w:pPr>
        <w:pStyle w:val="Heading2"/>
      </w:pPr>
      <w:r>
        <w:t>Erwägungen</w:t>
      </w:r>
    </w:p>
    <w:p>
      <w:r>
        <w:rPr>
          <w:b/>
        </w:rPr>
        <w:t>E. 3</w:t>
      </w:r>
    </w:p>
    <w:p>
      <w:r>
        <w:t>Lorsque les maximes d'office et inquisitoire stricte s'appliquent, comme dans le cas particulier (cf. art. 296 al. 1 CPC ; BOHNET, Actions civiles, vol. I, 3ème éd., 2025, n. 10 ad §27), des faits et moyens de preuve nouveaux peuvent être invoqués jusqu'aux délibérations d'appel (sur cette notion, cf. ATF 143 III 272 consid. 2.3.2 et les références citées), même si les conditions prévues par l'art. 317 al. 1 CPC ne sont pas réunies (cf. ATF 144 III 349 consid. 4.2.1 et les références citées). Ainsi, les nouveaux faits allégués et les nouveaux titres produits par l’appelant dans son écriture de recours, puis par l’appelée dans sa réponse, de même que dans ses écritures postérieures (cf. lettre X ci-dessus), toutes antérieures au début de la phase des délibérations d’appel, sont recevables. 4.1 La juridiction d’appel dispose d’une grande marge de manœuvre s’agissant de la conduite et de l’organisation de la procédure (cf. BOHNET, CPC annoté, 2022, n. 4 ad art. 316 CPC). Relève ainsi de son pouvoir d’appréciation la décision d’ordonner des débats et d’administrer des preuves (cf. art. 316 al. 1 et 3 CPC). En règle générale, la</w:t>
      </w:r>
    </w:p>
    <w:p>
      <w:r>
        <w:t>- 10 - procédure d’appel est conduite sur pièces, sans audience ni administration de preuves (cf. ATF 142 III 413 consid. 2.2.1 et les références citées). La juridiction saisie peut en particulier refuser une mesure probatoire en procédant à une appréciation anticipée, lorsqu'elle estime que ladite mesure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138 III 374 consid. 4.3.2 et les références citées). 4.2 Il faut d’emblée relever que l'interrogatoire des parties sollicité par l’appelant n’est nullement motivé, de sorte qu'il semble plutôt s'agir d'une clause de style que d'une réelle requête. Cet interrogatoire n’est au demeurant pas nécessaire, les parties ayant en effet déjà pu se déterminer à plusieurs reprises en cours de procédure et, en outre, eu l’occasion de déposer, y compris en instance d’appel (cf. consid. 3 ci-dessus), toutes les pièces, à leur avis, nécessaires à la défense de leur cause. Il n’y a dès lors pas lieu de donner suite à cette offre de preuve. 5.1 L’appelant fait, en premier lieu, grief au juge de district d’avoir violé son droit d’être entendu. Il lui reproche de ne pas avoir respecté son « droit inconditionnel de réplique » après lui avoir notifié l’écriture qui avait été déposée par Y _________ le 3 juillet 2023 et dans laquelle cette dernière invoquait pour la première fois le fait que son fils aîné, après avoir été informé, à sa majorité, du fait qu’elle ne lui verserait plus de contribution d’entretien, n’avait « pas réagi ni contesté, ni réclamé l’entretien » et attendu près de deux ans pour solliciter le paiement d’arriérés de pensions. Comme la décision entreprise avait été prononcée le 12 juillet 2023, soit seulement sept jours après l’écriture précitée, l’appelant estime ne pas avoir pu bénéficier du temps nécessaire pour produire trois courriels infirmant les dires de sa mère. Il reconnaît néanmoins que, du moment que la Cour de céans dispose du même pouvoir d’examen que l’instance précédente, la violation de son droit d’être entendu a pu être réparée par ses nouveaux allégués et les pièces produites en annexe à son écriture d’appel. 5.2 Il faut effectivement admettre que le premier juge a statué sans respecter le droit inconditionnel de réplique du requérant (cf. s’agissant de ce droit et du délai dans lequel il doit être exercé, ATF 146 III 97 consid. 3.4 et arrêt 5A_929/2018 consid. 2.2 ainsi que les références citées). Ce dernier a néanmoins pu, dans son recours adressé à la Cour de céans - laquelle bénéficie d’un libre pouvoir d’examen en fait et en droit (cf. consid. 2.1 ci-dessus) et pouvait être saisie de faits et/ou de moyens de preuve nouveaux jusqu’à la phase des délibérations (cf. consid. 3 ci-dessus) - se déterminer, preuve à l’appui, sur</w:t>
      </w:r>
    </w:p>
    <w:p>
      <w:r>
        <w:t>- 11 - les allégations litigieuses figurant dans l’écriture de sa mère du 3 juillet 2023. Dans ces conditions, et comme il le relève à juste titre, la violation de son droit d’être entendu peut être considérée comme guérie (cf. sur cette question, CHEVALIER/BOOG, in Sutter- Somm/Lötscher/Leuenberger/Seiler, Kommentar zur Schweizerischen Zivilprozessordnung, n. 27-28 ad art. 53 CPC). Il n’y a dès lors pas lieu de s’attarder davantage sur cette problématique. 6.1 Selon la décision entreprise, rien au dossier n’indique que X _________ aurait répondu au message que sa mère lui a adressé le xx.xxxx4 - pour lui annoncer qu’elle ne lui verserait plus aucune contribution d’entretien - en lui signalant qu’il était toujours en formation et en lui communiquant ses propres coordonnées bancaires de manière à ce qu’elle puisse continuer à lui payer ladite contribution. Cela n’avait été que « bien après », soit le 5 janvier 2023, qu’il lui avait fait notifier un commandement de payer, avant d’introduire la présente procédure d’avis aux débiteurs. Puis, au terme de l’échange d’écritures et au vu des pièces déposées en cause, « en particulier celles relatives à la formation de pilote » que suivait son fils aîné, l’intimée avait « admis le principe du versement des contributions d’entretien en faveur de ses enfants », s’était « engagée à s’acquitter de l’arriéré en faveur de X _________ », avait « sollicité que les coordonnées bancaires de ses enfants lui soient communiquées » et « pris l’engagement de verser régulièrement les contributions d’entretien à l’avenir ». Elle avait également réglé la totalité des arriérés, y compris la pension du mois de juin 2023, de même que « la dette d’intérêt ». Ainsi, même si « le retard de paiement des contributions en faveur de X _________ [avait] été conséquent puisqu’il [avait] duré plus de deux ans », celui-ci n’avait réagi « que dans un temps relativement long », de sorte que sa mère avait pu « partir du principe » qu’il s’était accommodé de la situation, ce qui « relativis[ait] d’autant le délai d’impayé ». De plus, il ne lui avait pas communiqué les documents attestant du fait qu’il était encore en formation au moment de sa majorité, ni ses propres coordonnées bancaires, ce qui lui incombait pourtant de faire s’il voulait continuer à percevoir la contribution d’entretien litigieuse, cette dernière ne pouvant être versée, compte tenu des circonstances, sur le compte de son père. Enfin, l’intimée avait renoncé à requérir une modification du jugement de divorce dans le sens d’une suppression de ladite contribution d’entretien, alors même qu’une telle action en justice n’aurait pas été dépourvue de chances de succès « compte tenu de la volonté affirmée de l’enfant de ne pas entretenir de relations personnelles » avec elle. Au vu de tous ces éléments, aucune « conclusion univoque quant à la volonté de l’intimée de ne pas s’acquitter à l’avenir des contributions en faveur de ses enfants » ne pouvait être tirée, ce d’autant plus que celle-ci avait « à ce jour » respecté ses obligations. Dès lors, compte</w:t>
      </w:r>
    </w:p>
    <w:p>
      <w:r>
        <w:t>- 12 - tenu du « caractère incisif de la mesure d’avis aux débiteurs », il convenait de « privilégier la confiance dans les déclarations de l’intimée qui [étaient] attestées par ses derniers actes », ce qui conduisait au rejet de cette mesure. 6.2.1 L’appelant s’en prend à cette décision en tant qu’elle a retenu que sa mère n’avait « jamais été interpellée au sujet du non-paiement des pensions préalablement à l’ouverture d’une procédure à son encontre » et avait ainsi pu admettre qu’il s’était accommodé de la situation. En effet, les trois e-mails joints à son écriture de recours (cf. consid. 6.2.2 ci-après) démontreraient qu’elle avait bel et bien été interpellée à trois reprises par son ex-mari « au sujet du non-paiement des pensions » litigieuses et avertie qu’elle pouvait faire l’objet de « démarches judiciaires ». Dès lors, le fait de ne pas s’être acquittée desdites pensions « résultait uniquement de son refus de respecter son obligation d’entretien », si bien que, compte tenu « de sa tendance à dissimuler la vérité aux autorités et de la mauvaise foi dont elle [avait] fait preuve dans le cadre de la présente procédure », il convenait de réformer la décision attaquée dans le sens où un avis aux débiteurs devait être prononcé à son encontre. 6.2.2 Les trois courriels, dont se prévaut X _________ et qui ont été adressé par son père à sa mère, ont les teneurs suivantes. 6.2.2.1 Premier e-mail daté du 18 novembre 2020 : « Bonjour Y _________, X _________ m’a fait part du message que tu lui a envoyé via les réseaux sociaux, à savoir ; ...tu lui dis que tu vas cesser le payement de sa pension depuis ses 18 ans... X _________ est en avant dernière année avant la fin de son N _________ (BAC) qu’il terminera en décembre 2021 et ensuite s’orientera vers des études d’aéronautiques afin de devenir pilote professionnelle. Tu dois continuer de payer les frais d’entretien jusqu’à la fin de leur études. Quant aux études, c’est aux deux parents de les financer, j’aimerai à ce propos que nous parlions de ta participation, comme la lois le prévoit. Je te prie d’en prendre bonne note et je te prie de faire le versement de sa pension dans les plus brefs délais. meilleures salutations, A _________ »</w:t>
      </w:r>
    </w:p>
    <w:p>
      <w:r>
        <w:t>6.2.2.2 Deuxième e-mail daté du 30 septembre 2021 : « Bonjour, la pension alimentaire pour X _________ n’a plus été versé depuis novembre 2020 soit à ce jour 6'720.- je te prie de verser ce montant dans les meilleurs délais. Sinon,</w:t>
      </w:r>
    </w:p>
    <w:p>
      <w:r>
        <w:t>- 13 - je me verrai obligé de reprendre une action en justice pour le bien-être de nos enfants. pour le surplus, les 560.- que tu verse ne correspond pas du tout à la moitié des frais pour deux adolescents / adulte de 1m88 qui sont toujours en étude. X _________ passera son N _________ à la fin de l’année et B _________ dans deux ans. X _________ est inscrit dans une école d’aviation et B _________ certainement en architecture. A _________ »</w:t>
      </w:r>
    </w:p>
    <w:p>
      <w:r>
        <w:t>6.2.2.3 Troisième e-mail daté du 7 mars 2022 : « Bonjour Y _________, Je reviens vers toi puisque tu n’as pas donné suite à mon courriel du 30 septembre 2021. Tout d’abord tu me dois les arriérés de pension pour X _________ depuis le mois de novembre 2020 soit à ce jour, soit 8'960.-Sfr. X _________ a terminé son N _________ avec succès en décembre 2021. Depuis il continue ses études d’aéronautique pour devenir pilote professionnel À l’école H _________ à O _________ (tu trouveras en annexe les coûts liés à ses études). J’ai déjà avancé une partie des frais d’écolage (xxx) et il va passer ses prochains jours son examen pratique PPL, il a réussi toutes ses branches théoriques PPL. La durée de ses écoles va durer environ deux ans encore afin qu’il obtienne sa CPL et son ATPL frozen. Je lui ai acheté une voiture afin qu’il puisse se rendre à ses cours et je lui paye sa chambre à I _________ et bien sûr je lui verse de l’argent pour vivre. Mes réserves sont épuisées et je n’ai plus les moyens de payer seul ses études avec seulement 3'150.- de rente par mois que je reçois de la SUVA. La loi est claire, nous sommes tous les deux responsables de nos enfants, de leur entretien et de leurs études jusqu’à la fin de celles-ci, jusqu’à ce qu’ils puissent subvenir eux-même à leur besoins. (je te laisse lire le Pdf annexé) Je te demande de t’arranger avec moi à l’amiable en ce qui concerne les études de nos deux fils. B _________ est en grade 11 et il terminera son N _________ en décembre 2023, il va certainement rentrer à l’université en février 2024 pour 5 ans. Voilà, Je te laisse d’ici au 15 mars pour me répondre et régler les arriérés que tu me dois. Sans nouvelles de ta part, j’engagerai des actions légales et je demanderai à X _________ de faire pareil, puisqu’il est majeur, étant sûrs d’obtenir gain de cause car c’est la loi. J’espère que nous n’aurons pas besoin d’en arriver là et ainsi éviter de nouvelles procédures coûteuses inutiles. meilleures salutations, A _________ »</w:t>
      </w:r>
    </w:p>
    <w:p>
      <w:r>
        <w:t>6.3.1 Dans sa détermination sur appel du 28 août 2023, Y _________ soutient ne jamais avoir reçu les trois e-mails précités, tout en relevant que l’appelant ne les a, ni rédigés, ni signés, de sorte qu’ils sont dépourvus de valeur juridique puisqu’ils émanent de son père, alors même qu’il était déjà majeur. Elle prétend également que, devant le premier juge, son fils aîné n’a pas prouvé, qu’après sa majorité et le message qu’elle lui</w:t>
      </w:r>
    </w:p>
    <w:p>
      <w:r>
        <w:t>- 14 - a envoyé pour son dix-huitième anniversaire, il l’a contactée personnellement, lui a communiqué ses résultats scolaires et son plan de formation, ou encore ses coordonnées bancaires « pour obtenir le paiement des pensions ». Au contraire, quelques mois avant sa majorité, il lui a écrit pour lui signifier qu’il ne voulait plus la voir, malgré les démarches qu’elle avait entreprises dans ce but. Ainsi, c’est à juste titre que le premier juge a retenu qu’elle pouvait partir de l’idée que son fils X _________ s’était accommodé de la situation et ne réclamait plus le paiement de contributions d’entretien après sa majorité. Par ailleurs, elle avait « à ce jour » respecté toutes ses obligations en s’acquittant des « contributions d’entretien arriérées » ainsi que des « pensions courantes », ce qui était prouvé par les pièces déposées en cause. 6.3.2 Les 2 octobre, 3 novembre et 5 décembre 2023 ainsi que les 9 janvier et 23 juillet 2024 (cf. lettre X ci-dessus), elle a encore allégué et produit des pièces établissant qu’elle s’était acquittée en mains de ses deux fils des contributions d’entretien pour les mois d’octobre 2023 à juin 2024, tout en précisant que celles du mois de juillet 2024 lui avait été « renvoyée » par ceux-ci et en expliquant qu’il « semblerait qu[‘ils] soient de retour en Suisse sans qu[‘elle] n’ait d’informations plus précises » à ce sujet. 6.4.1 Intitulé « Avis aux débiteurs », l’article 291 CC dispose que, lorsque les père et mère négligent de prendre soin de l’enfant, le juge peut prescrire à leurs débiteurs d’opérer tout ou partie de leurs paiements entre les mains du représentant légal de l’enfant. 6.4.2 Un tel avis tend à assurer à l'ayant droit le paiement régulier desdites contributions. Il s'agit d'une mesure d'exécution forcée privilégiée sui generis, qui se trouve en lien étroit avec le droit civil. L'élément d'exécution forcée résulte du but même de cette institution, à savoir l'exécution d'une décision portant condamnation à payer une somme d'argent. Elle est sui generis, car de tels jugements sont en principe exécutés par la voie de la poursuite (cf. art. 38 al. 1 LP). Cette réalisation forcée est privilégiée par rapport au régime ordinaire en ce sens, notamment, qu'elle n'est pas soumise à la procédure préalable de notification du commandement de payer, ni à l'obligation de requérir la saisie des montants dus. Ces modalités différentes de celles de l'exécution forcée ordinaire ne changent pas la nature de l'institution, à savoir le paiement d'une dette contre la volonté du débiteur. L'avis aux débiteurs, en tant que mesure d'exécution forcée privilégiée d'une décision ayant pour objet le paiement d'une somme d'argent, se substitue à une mainlevée définitive suivie d'une saisie. En conséquence, bien que cette institution, propre au droit de la famille, ne réponde pas aux règles de la loi fédérale sur la poursuite pour dettes et la faillite, le juge qui ordonne aux tiers débiteurs d'opérer leurs</w:t>
      </w:r>
    </w:p>
    <w:p>
      <w:r>
        <w:t>- 15 - paiements directement entre les mains du créancier d'aliments doit observer, cas échéant, les principes développés pour la détermination du minimum vital au sens de l'article 93 LP (cf. arrêt 5A_158/2020 du 21 décembre 2020 consid. 3.1 et les références citées). 6.4.3 A l'appui de sa requête, le créancier d'entretien doit démontrer être au bénéfice d'un titre exécutoire (cf. arrêt 5A_958/2012 du 27 juillet 2013 consid. 2.3.2.1). Le juge n’a pas à réexaminer le principe et le montant de la contribution d’entretien fixée dans la décision exécutoire. Il ne se prononce pas sur les droits liant le créancier au débiteur d’entretien, ni d’ailleurs sur ceux liant ce dernier à ses propres débiteurs. Il n’intervient que dans l’éventualité où aucun de ces droits n’est litigieux et se borne à enjoindre au tiers débiteur de quelle façon il doit s’acquitter de sa dette (cf. PELLATON, in Bohnet/Guillod, Droit matrimonial, Commentaire pratique, 2016, n. 37 et 60 ad art. 177 CC). Le réexamen matériel de la contribution d’entretien ne peut intervenir que dans le cadre d’une procédure de modification (cf. FOUNTOULAKIS, Commentaire bâlois, 7ème éd., 2022, n. 1 ad art. 291 CC ; PELLATON, loc. cit.). 6.4.4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statue en équité en tenant compte des circonstances de l'espèce (cf. art. 4 CC ; arrêt 5A_874/2015 du 2 mars 2016 consid. 6.1 et les références citées). 6.5 Il faut d’emblée relever que les trois courriels dont se prévaut l’appelant devant la Cour de céans ne lui sont d’aucun secours pour la défense de sa thèse. En effet, l’appelée conteste fermement les avoir reçus. Or, à cet égard, compte tenu du manque de fiabilité du trafic électronique en général et, en particulier, des difficultés liées à la preuve de l’arrivée d’un message électronique dans la sphère de contrôle du destinataire, il est possible d’exiger, au regard des règles sur la répartition du fardeau de la preuve, que l’expéditeur obtienne du destinataire de son courriel une confirmation de réception de ce dernier ou, à tout le moins, qu’il réagisse à l’absence d’une telle confirmation (cf. dans ce sens ATF 145 V 90 consid. 6.2.2 et arrêt 5A_879/2023 du 29 mai 2024 consid. 3.3 ainsi que les références citées). L’appelant n’a toutefois apporté aucune preuve de ce type, ce qui lui aurait pourtant été loisible de faire - la phase des délibérations d’appel n’ayant alors pas débuté - une fois qu’il a eu connaissance de la</w:t>
      </w:r>
    </w:p>
    <w:p>
      <w:r>
        <w:t>- 16 - détermination de sa mère du 3 juillet 2023. Il doit ainsi assumer l’échec de la preuve sur ce point, de sorte qu’il ne peut être tenu pour établi que l’intimée a bel et bien reçu les courriels en question et a dès lors été interpellée à trois reprises, entre le 18 novembre 2020 et le 7 mars 2022, « au sujet du non-paiement des pensions » litigieuses dues pour son fils aîné. Il n’est pas davantage prouvé qu’elle a reçu, dans ce même laps de temps, la moindre information concernant son cursus scolaire, puis la formation de pilote professionnel qu’il a entreprise. On ne peut en outre lui faire spécialement grief de ne pas avoir cherché à obtenir de la part de son fils X _________ des informations à ce sujet puisque, le 16 juin 2020, celui-ci lui avait expressément et très clairement signifié qu’il ne voulait plus avoir de contact avec elle (cf. lettre D ci-dessus). Ainsi, comme l’a retenu à juste titre le premier juge, en l’absence, jusqu’au commandement de payer qui lui a été notifié le 5 janvier 2023 (cf. lettre I ci-dessus), soit plus de deux ans après, de réaction de l’appelant à son e-mail du xx.xxxx4 l’informant de sa décision de cesser de lui verser une contribution d’entretien - e-mail que l’intéressé a bien reçu, comme l’indique A _________ dans son courriel du 18 novembre 2020 (cf. consid. 6.2.2.1 ci- dessus) - l’appelée pouvait partir de l’idée que son fils aîné ne s’opposait pas à sa décision précitée. Par la suite, dès qu’elle a eu connaissance « officiellement » en lisant la décision de mainlevée du 26 avril 2023 (cf. lettre M ci-dessus), soit un peu plus de deux mois après l’introduction de la requête d’avis aux débiteurs, du fait que son fils avait achevé avec succès son cursus scolaire secondaire et entrepris une formation de pilote professionnel, elle a très rapidement repris le versement des contributions d’entretien en sa faveur et régularisé les arriérés qu’il lui réclamait (cf. lettres N, R, S et T ci-desus), puis a scrupuleusement respecté le rythme mensuel dudit versement, en tout cas jusqu’en juin 2024 (cf. consid. 6.3.2 ci-dessus). Au vu de ces éléments, il n’est pas possible de retenir qu’elle a eu la volonté au moment du prononcé entrepris, comme d’ailleurs en instance d’appel, de ne pas s’acquitter des contributions d’entretien mises à sa charge en faveur de l’appelant. C’est par conséquent à bon droit que le premier juge a refusé de prononcer une mesure d’avis aux débiteurs à son encontre.</w:t>
      </w:r>
    </w:p>
    <w:p>
      <w:r>
        <w:rPr>
          <w:b/>
        </w:rPr>
        <w:t>E. 7</w:t>
      </w:r>
    </w:p>
    <w:p>
      <w:r>
        <w:t>Au vu de ce qui précède, le présent appel est en tous points mal fondé et doit être rejeté, si bien que la décision entreprise peut être confirmée (cf. art. 318 al. 1 let. a CPC). 8.1 Dans ces conditions, il n’y pas lieu de rediscuter la répartition, non plus que la quotité des frais de première instance (cf. art. 318 al. 3 CPC a contrario).</w:t>
      </w:r>
    </w:p>
    <w:p>
      <w:r>
        <w:t>- 17 - 8.2 Les frais de seconde instance doivent être intégralement supportés par l’appelant qui succombe (art. 106 al. 1 CPC). Compte tenu de l’ampleur réduite de la cause, de son degré usuel de difficulté, de la situation financière de l’appelant, ainsi que des principes de la couverture des frais et de l’équivalence des prestations (cf. art. 13 al. 1 et 2 LTar), l’émolument forfaitaire de décision (cf. art. 95 al. 2 let. b CPC) est arrêté à 500 fr. (cf. art. 18 et 19 LTar). 8.3 Au vu de l’activité utilement exercée céans par l’avocate de l’appelée, qui a déposé une détermination de cinq pages et six courriers accompagnés de plusieurs pièces, ainsi que des critères précités, l’appelant versera à sa mère 1500 fr., débours et TVA comprise, à titre de dépens (cf. art. 27, 34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